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B8CC" w14:textId="77777777" w:rsidR="007E774C" w:rsidRPr="007E774C" w:rsidRDefault="007E774C" w:rsidP="007E774C">
      <w:pPr>
        <w:rPr>
          <w:rFonts w:ascii="Arial" w:hAnsi="Arial" w:cs="Arial"/>
          <w:sz w:val="24"/>
          <w:szCs w:val="24"/>
        </w:rPr>
      </w:pPr>
      <w:r w:rsidRPr="007E774C">
        <w:rPr>
          <w:rFonts w:ascii="Arial" w:hAnsi="Arial" w:cs="Arial"/>
          <w:sz w:val="24"/>
          <w:szCs w:val="24"/>
        </w:rPr>
        <w:t>All our 12 cars use Ordnance Survey 1:50000 Landranger Maps, and the navigation used often relies upon competitors having the most recent version of the map. Each event will always specify which versions of the map have been used to prepare the route handouts, and it is unwise to use an older version of the map than the one specif</w:t>
      </w:r>
      <w:r>
        <w:rPr>
          <w:rFonts w:ascii="Arial" w:hAnsi="Arial" w:cs="Arial"/>
          <w:sz w:val="24"/>
          <w:szCs w:val="24"/>
        </w:rPr>
        <w:t>i</w:t>
      </w:r>
      <w:r w:rsidRPr="007E774C">
        <w:rPr>
          <w:rFonts w:ascii="Arial" w:hAnsi="Arial" w:cs="Arial"/>
          <w:sz w:val="24"/>
          <w:szCs w:val="24"/>
        </w:rPr>
        <w:t>ed, as some details may have changed. If the organiser has not used the most recent map, let them know as soon as possible so they can arrange to check the navigation on the new map.</w:t>
      </w:r>
    </w:p>
    <w:p w14:paraId="30053EEE" w14:textId="77777777" w:rsidR="007E774C" w:rsidRPr="007E774C" w:rsidRDefault="007E774C" w:rsidP="007E774C">
      <w:pPr>
        <w:rPr>
          <w:rFonts w:ascii="Arial" w:hAnsi="Arial" w:cs="Arial"/>
          <w:sz w:val="24"/>
          <w:szCs w:val="24"/>
        </w:rPr>
      </w:pPr>
      <w:r w:rsidRPr="007E774C">
        <w:rPr>
          <w:rFonts w:ascii="Arial" w:hAnsi="Arial" w:cs="Arial"/>
          <w:sz w:val="24"/>
          <w:szCs w:val="24"/>
        </w:rPr>
        <w:t>Older Ordnance Survey Maps used an edition number like A1, A2, B1 etc., but the new maps no longer show these. Where the map has not been revised, the old edition number is given below. New maps now show a month when the map data was last revised, which is also shown below.</w:t>
      </w:r>
    </w:p>
    <w:p w14:paraId="544BFB9D" w14:textId="77777777" w:rsidR="007E774C" w:rsidRPr="007E774C" w:rsidRDefault="007E774C" w:rsidP="007E774C">
      <w:pPr>
        <w:rPr>
          <w:rFonts w:ascii="Arial" w:hAnsi="Arial" w:cs="Arial"/>
          <w:sz w:val="24"/>
          <w:szCs w:val="24"/>
        </w:rPr>
      </w:pPr>
      <w:r w:rsidRPr="007E774C">
        <w:rPr>
          <w:rFonts w:ascii="Arial" w:hAnsi="Arial" w:cs="Arial"/>
          <w:sz w:val="24"/>
          <w:szCs w:val="24"/>
        </w:rPr>
        <w:t>The maps we usually use are listed below. The four maps we use most are</w:t>
      </w:r>
    </w:p>
    <w:p w14:paraId="020096FF" w14:textId="77777777" w:rsidR="007E774C" w:rsidRPr="007E774C" w:rsidRDefault="007E774C" w:rsidP="007E774C">
      <w:pPr>
        <w:rPr>
          <w:rFonts w:ascii="Arial" w:hAnsi="Arial" w:cs="Arial"/>
          <w:sz w:val="24"/>
          <w:szCs w:val="24"/>
        </w:rPr>
      </w:pPr>
      <w:r w:rsidRPr="007E774C">
        <w:rPr>
          <w:rFonts w:ascii="Arial" w:hAnsi="Arial" w:cs="Arial"/>
          <w:sz w:val="24"/>
          <w:szCs w:val="24"/>
        </w:rPr>
        <w:t>100, 101, 106 and 107. The others are used much less often.</w:t>
      </w:r>
    </w:p>
    <w:p w14:paraId="6BAD69C2" w14:textId="77777777" w:rsidR="00000000" w:rsidRPr="007E774C" w:rsidRDefault="007E774C" w:rsidP="007E774C">
      <w:pPr>
        <w:rPr>
          <w:rFonts w:ascii="Arial" w:hAnsi="Arial" w:cs="Arial"/>
          <w:sz w:val="24"/>
          <w:szCs w:val="24"/>
        </w:rPr>
      </w:pPr>
      <w:r w:rsidRPr="007E774C">
        <w:rPr>
          <w:rFonts w:ascii="Arial" w:hAnsi="Arial" w:cs="Arial"/>
          <w:sz w:val="24"/>
          <w:szCs w:val="24"/>
        </w:rPr>
        <w:t>This list was last checked on 20</w:t>
      </w:r>
      <w:r w:rsidRPr="007E774C">
        <w:rPr>
          <w:rFonts w:ascii="Arial" w:hAnsi="Arial" w:cs="Arial"/>
          <w:sz w:val="24"/>
          <w:szCs w:val="24"/>
          <w:vertAlign w:val="superscript"/>
        </w:rPr>
        <w:t>th</w:t>
      </w:r>
      <w:r w:rsidRPr="007E774C">
        <w:rPr>
          <w:rFonts w:ascii="Arial" w:hAnsi="Arial" w:cs="Arial"/>
          <w:sz w:val="24"/>
          <w:szCs w:val="24"/>
        </w:rPr>
        <w:t xml:space="preserve"> December 2019</w:t>
      </w:r>
    </w:p>
    <w:p w14:paraId="76BF2F5C" w14:textId="77777777" w:rsidR="007E774C" w:rsidRDefault="007E774C" w:rsidP="007E774C"/>
    <w:tbl>
      <w:tblPr>
        <w:tblStyle w:val="TableGrid"/>
        <w:tblW w:w="0" w:type="auto"/>
        <w:tblLook w:val="04A0" w:firstRow="1" w:lastRow="0" w:firstColumn="1" w:lastColumn="0" w:noHBand="0" w:noVBand="1"/>
      </w:tblPr>
      <w:tblGrid>
        <w:gridCol w:w="1838"/>
        <w:gridCol w:w="4172"/>
        <w:gridCol w:w="3006"/>
      </w:tblGrid>
      <w:tr w:rsidR="007E774C" w14:paraId="24F14C24" w14:textId="77777777" w:rsidTr="007E774C">
        <w:trPr>
          <w:trHeight w:val="567"/>
        </w:trPr>
        <w:tc>
          <w:tcPr>
            <w:tcW w:w="1838" w:type="dxa"/>
            <w:vAlign w:val="center"/>
          </w:tcPr>
          <w:p w14:paraId="1F88E551" w14:textId="77777777" w:rsidR="007E774C" w:rsidRPr="007E774C" w:rsidRDefault="007E774C" w:rsidP="007E774C">
            <w:pPr>
              <w:rPr>
                <w:rFonts w:ascii="Arial" w:hAnsi="Arial" w:cs="Arial"/>
                <w:sz w:val="24"/>
              </w:rPr>
            </w:pPr>
            <w:r w:rsidRPr="007E774C">
              <w:rPr>
                <w:rFonts w:ascii="Arial" w:hAnsi="Arial" w:cs="Arial"/>
                <w:sz w:val="24"/>
              </w:rPr>
              <w:t>Map Number</w:t>
            </w:r>
          </w:p>
        </w:tc>
        <w:tc>
          <w:tcPr>
            <w:tcW w:w="4172" w:type="dxa"/>
            <w:vAlign w:val="center"/>
          </w:tcPr>
          <w:p w14:paraId="61D228DE" w14:textId="77777777" w:rsidR="007E774C" w:rsidRPr="007E774C" w:rsidRDefault="007E774C" w:rsidP="007E774C">
            <w:pPr>
              <w:rPr>
                <w:rFonts w:ascii="Arial" w:hAnsi="Arial" w:cs="Arial"/>
                <w:sz w:val="24"/>
              </w:rPr>
            </w:pPr>
            <w:r w:rsidRPr="007E774C">
              <w:rPr>
                <w:rFonts w:ascii="Arial" w:hAnsi="Arial" w:cs="Arial"/>
                <w:sz w:val="24"/>
              </w:rPr>
              <w:t>Name</w:t>
            </w:r>
          </w:p>
        </w:tc>
        <w:tc>
          <w:tcPr>
            <w:tcW w:w="3006" w:type="dxa"/>
            <w:vAlign w:val="center"/>
          </w:tcPr>
          <w:p w14:paraId="5676C1AF" w14:textId="77777777" w:rsidR="007E774C" w:rsidRPr="007E774C" w:rsidRDefault="007E774C" w:rsidP="007E774C">
            <w:pPr>
              <w:rPr>
                <w:rFonts w:ascii="Arial" w:hAnsi="Arial" w:cs="Arial"/>
                <w:sz w:val="24"/>
              </w:rPr>
            </w:pPr>
            <w:r w:rsidRPr="007E774C">
              <w:rPr>
                <w:rFonts w:ascii="Arial" w:hAnsi="Arial" w:cs="Arial"/>
                <w:sz w:val="24"/>
              </w:rPr>
              <w:t>Revision Date</w:t>
            </w:r>
          </w:p>
        </w:tc>
      </w:tr>
      <w:tr w:rsidR="007E774C" w14:paraId="1A6EC1EB" w14:textId="77777777" w:rsidTr="007E774C">
        <w:trPr>
          <w:trHeight w:val="567"/>
        </w:trPr>
        <w:tc>
          <w:tcPr>
            <w:tcW w:w="1838" w:type="dxa"/>
            <w:vAlign w:val="center"/>
          </w:tcPr>
          <w:p w14:paraId="5802B454" w14:textId="77777777" w:rsidR="007E774C" w:rsidRPr="007E774C" w:rsidRDefault="007E774C" w:rsidP="007E774C">
            <w:pPr>
              <w:rPr>
                <w:rFonts w:ascii="Arial" w:hAnsi="Arial" w:cs="Arial"/>
                <w:sz w:val="24"/>
              </w:rPr>
            </w:pPr>
            <w:r w:rsidRPr="007E774C">
              <w:rPr>
                <w:rFonts w:ascii="Arial" w:hAnsi="Arial" w:cs="Arial"/>
                <w:sz w:val="24"/>
              </w:rPr>
              <w:t>100</w:t>
            </w:r>
          </w:p>
        </w:tc>
        <w:tc>
          <w:tcPr>
            <w:tcW w:w="4172" w:type="dxa"/>
            <w:vAlign w:val="center"/>
          </w:tcPr>
          <w:p w14:paraId="7ACCDDA4" w14:textId="77777777" w:rsidR="007E774C" w:rsidRPr="007E774C" w:rsidRDefault="007E774C" w:rsidP="007E774C">
            <w:pPr>
              <w:rPr>
                <w:rFonts w:ascii="Arial" w:hAnsi="Arial" w:cs="Arial"/>
                <w:sz w:val="24"/>
              </w:rPr>
            </w:pPr>
            <w:r>
              <w:rPr>
                <w:rFonts w:ascii="Arial" w:hAnsi="Arial" w:cs="Arial"/>
                <w:sz w:val="24"/>
              </w:rPr>
              <w:t>Malton and Pickering</w:t>
            </w:r>
          </w:p>
        </w:tc>
        <w:tc>
          <w:tcPr>
            <w:tcW w:w="3006" w:type="dxa"/>
            <w:vAlign w:val="center"/>
          </w:tcPr>
          <w:p w14:paraId="205FE8B2" w14:textId="77777777" w:rsidR="007E774C" w:rsidRPr="007E774C" w:rsidRDefault="007E774C" w:rsidP="007E774C">
            <w:pPr>
              <w:rPr>
                <w:rFonts w:ascii="Arial" w:hAnsi="Arial" w:cs="Arial"/>
                <w:sz w:val="24"/>
              </w:rPr>
            </w:pPr>
            <w:r>
              <w:rPr>
                <w:rFonts w:ascii="Arial" w:hAnsi="Arial" w:cs="Arial"/>
                <w:color w:val="000000"/>
                <w:sz w:val="24"/>
                <w:szCs w:val="24"/>
              </w:rPr>
              <w:t xml:space="preserve">Revised August 2015 </w:t>
            </w:r>
            <w:r w:rsidRPr="002F1C6E">
              <w:rPr>
                <w:rFonts w:ascii="Arial" w:hAnsi="Arial" w:cs="Arial"/>
                <w:color w:val="000000"/>
                <w:sz w:val="24"/>
                <w:szCs w:val="24"/>
              </w:rPr>
              <w:t>Reprinted February 2016</w:t>
            </w:r>
          </w:p>
        </w:tc>
      </w:tr>
      <w:tr w:rsidR="007E774C" w14:paraId="4F29F626" w14:textId="77777777" w:rsidTr="007E774C">
        <w:trPr>
          <w:trHeight w:val="567"/>
        </w:trPr>
        <w:tc>
          <w:tcPr>
            <w:tcW w:w="1838" w:type="dxa"/>
            <w:vAlign w:val="center"/>
          </w:tcPr>
          <w:p w14:paraId="26121244" w14:textId="77777777" w:rsidR="007E774C" w:rsidRPr="007E774C" w:rsidRDefault="007E774C" w:rsidP="007E774C">
            <w:pPr>
              <w:rPr>
                <w:rFonts w:ascii="Arial" w:hAnsi="Arial" w:cs="Arial"/>
                <w:sz w:val="24"/>
              </w:rPr>
            </w:pPr>
            <w:r w:rsidRPr="007E774C">
              <w:rPr>
                <w:rFonts w:ascii="Arial" w:hAnsi="Arial" w:cs="Arial"/>
                <w:sz w:val="24"/>
              </w:rPr>
              <w:t>101</w:t>
            </w:r>
          </w:p>
        </w:tc>
        <w:tc>
          <w:tcPr>
            <w:tcW w:w="4172" w:type="dxa"/>
            <w:vAlign w:val="center"/>
          </w:tcPr>
          <w:p w14:paraId="1E536F88" w14:textId="77777777" w:rsidR="007E774C" w:rsidRPr="007E774C" w:rsidRDefault="007E774C" w:rsidP="007E774C">
            <w:pPr>
              <w:rPr>
                <w:rFonts w:ascii="Arial" w:hAnsi="Arial" w:cs="Arial"/>
                <w:sz w:val="24"/>
              </w:rPr>
            </w:pPr>
            <w:r>
              <w:rPr>
                <w:rFonts w:ascii="Arial" w:hAnsi="Arial" w:cs="Arial"/>
                <w:sz w:val="24"/>
              </w:rPr>
              <w:t>Scarborough</w:t>
            </w:r>
          </w:p>
        </w:tc>
        <w:tc>
          <w:tcPr>
            <w:tcW w:w="3006" w:type="dxa"/>
            <w:vAlign w:val="center"/>
          </w:tcPr>
          <w:p w14:paraId="01EA6A0F" w14:textId="77777777" w:rsidR="007E774C" w:rsidRDefault="007E774C" w:rsidP="007E774C">
            <w:pPr>
              <w:rPr>
                <w:rFonts w:ascii="Arial" w:hAnsi="Arial" w:cs="Arial"/>
                <w:color w:val="000000"/>
                <w:sz w:val="24"/>
                <w:szCs w:val="24"/>
              </w:rPr>
            </w:pPr>
            <w:r w:rsidRPr="00A445C8">
              <w:rPr>
                <w:rFonts w:ascii="Arial" w:hAnsi="Arial" w:cs="Arial"/>
                <w:color w:val="000000"/>
                <w:sz w:val="24"/>
                <w:szCs w:val="24"/>
              </w:rPr>
              <w:t xml:space="preserve">Revised </w:t>
            </w:r>
            <w:r>
              <w:rPr>
                <w:rFonts w:ascii="Arial" w:hAnsi="Arial" w:cs="Arial"/>
                <w:color w:val="000000"/>
                <w:sz w:val="24"/>
                <w:szCs w:val="24"/>
              </w:rPr>
              <w:t>May 2019</w:t>
            </w:r>
          </w:p>
          <w:p w14:paraId="18F37707" w14:textId="77777777" w:rsidR="007E774C" w:rsidRPr="007E774C" w:rsidRDefault="007E774C" w:rsidP="007E774C">
            <w:pPr>
              <w:rPr>
                <w:rFonts w:ascii="Arial" w:hAnsi="Arial" w:cs="Arial"/>
                <w:sz w:val="24"/>
              </w:rPr>
            </w:pPr>
            <w:r>
              <w:rPr>
                <w:rFonts w:ascii="Arial" w:hAnsi="Arial" w:cs="Arial"/>
                <w:color w:val="000000"/>
                <w:sz w:val="24"/>
                <w:szCs w:val="24"/>
              </w:rPr>
              <w:t>R</w:t>
            </w:r>
            <w:r w:rsidRPr="00A445C8">
              <w:rPr>
                <w:rFonts w:ascii="Arial" w:hAnsi="Arial" w:cs="Arial"/>
                <w:color w:val="000000"/>
                <w:sz w:val="24"/>
                <w:szCs w:val="24"/>
              </w:rPr>
              <w:t>eprinted July 2019</w:t>
            </w:r>
          </w:p>
        </w:tc>
      </w:tr>
      <w:tr w:rsidR="007E774C" w14:paraId="4666C00B" w14:textId="77777777" w:rsidTr="007E774C">
        <w:trPr>
          <w:trHeight w:val="567"/>
        </w:trPr>
        <w:tc>
          <w:tcPr>
            <w:tcW w:w="1838" w:type="dxa"/>
            <w:vAlign w:val="center"/>
          </w:tcPr>
          <w:p w14:paraId="17D4FFE6" w14:textId="77777777" w:rsidR="007E774C" w:rsidRPr="007E774C" w:rsidRDefault="007E774C" w:rsidP="007E774C">
            <w:pPr>
              <w:rPr>
                <w:rFonts w:ascii="Arial" w:hAnsi="Arial" w:cs="Arial"/>
                <w:sz w:val="24"/>
              </w:rPr>
            </w:pPr>
            <w:r w:rsidRPr="007E774C">
              <w:rPr>
                <w:rFonts w:ascii="Arial" w:hAnsi="Arial" w:cs="Arial"/>
                <w:sz w:val="24"/>
              </w:rPr>
              <w:t>105</w:t>
            </w:r>
          </w:p>
        </w:tc>
        <w:tc>
          <w:tcPr>
            <w:tcW w:w="4172" w:type="dxa"/>
            <w:vAlign w:val="center"/>
          </w:tcPr>
          <w:p w14:paraId="6169EA34" w14:textId="77777777" w:rsidR="007E774C" w:rsidRPr="007E774C" w:rsidRDefault="007E774C" w:rsidP="007E774C">
            <w:pPr>
              <w:rPr>
                <w:rFonts w:ascii="Arial" w:hAnsi="Arial" w:cs="Arial"/>
                <w:sz w:val="24"/>
              </w:rPr>
            </w:pPr>
            <w:r>
              <w:rPr>
                <w:rFonts w:ascii="Arial" w:hAnsi="Arial" w:cs="Arial"/>
                <w:sz w:val="24"/>
              </w:rPr>
              <w:t>Selby</w:t>
            </w:r>
          </w:p>
        </w:tc>
        <w:tc>
          <w:tcPr>
            <w:tcW w:w="3006" w:type="dxa"/>
            <w:vAlign w:val="center"/>
          </w:tcPr>
          <w:p w14:paraId="374AA9F4" w14:textId="77777777" w:rsidR="007E774C" w:rsidRPr="007E774C" w:rsidRDefault="007E774C" w:rsidP="007E774C">
            <w:pPr>
              <w:rPr>
                <w:rFonts w:ascii="Arial" w:hAnsi="Arial" w:cs="Arial"/>
                <w:sz w:val="24"/>
              </w:rPr>
            </w:pPr>
            <w:r>
              <w:rPr>
                <w:rFonts w:ascii="Arial" w:hAnsi="Arial" w:cs="Arial"/>
                <w:sz w:val="24"/>
              </w:rPr>
              <w:t>Published February 2016</w:t>
            </w:r>
          </w:p>
        </w:tc>
      </w:tr>
      <w:tr w:rsidR="007E774C" w14:paraId="7781D0E8" w14:textId="77777777" w:rsidTr="007E774C">
        <w:trPr>
          <w:trHeight w:val="567"/>
        </w:trPr>
        <w:tc>
          <w:tcPr>
            <w:tcW w:w="1838" w:type="dxa"/>
            <w:vAlign w:val="center"/>
          </w:tcPr>
          <w:p w14:paraId="6EE24DFE" w14:textId="77777777" w:rsidR="007E774C" w:rsidRPr="007E774C" w:rsidRDefault="007E774C" w:rsidP="007E774C">
            <w:pPr>
              <w:rPr>
                <w:rFonts w:ascii="Arial" w:hAnsi="Arial" w:cs="Arial"/>
                <w:sz w:val="24"/>
              </w:rPr>
            </w:pPr>
            <w:r w:rsidRPr="007E774C">
              <w:rPr>
                <w:rFonts w:ascii="Arial" w:hAnsi="Arial" w:cs="Arial"/>
                <w:sz w:val="24"/>
              </w:rPr>
              <w:t>106</w:t>
            </w:r>
          </w:p>
        </w:tc>
        <w:tc>
          <w:tcPr>
            <w:tcW w:w="4172" w:type="dxa"/>
            <w:vAlign w:val="center"/>
          </w:tcPr>
          <w:p w14:paraId="7AD70DF8" w14:textId="77777777" w:rsidR="007E774C" w:rsidRPr="007E774C" w:rsidRDefault="007E774C" w:rsidP="007E774C">
            <w:pPr>
              <w:rPr>
                <w:rFonts w:ascii="Arial" w:hAnsi="Arial" w:cs="Arial"/>
                <w:sz w:val="24"/>
              </w:rPr>
            </w:pPr>
            <w:r>
              <w:rPr>
                <w:rFonts w:ascii="Arial" w:hAnsi="Arial" w:cs="Arial"/>
                <w:sz w:val="24"/>
              </w:rPr>
              <w:t>Market Weighton</w:t>
            </w:r>
          </w:p>
        </w:tc>
        <w:tc>
          <w:tcPr>
            <w:tcW w:w="3006" w:type="dxa"/>
            <w:vAlign w:val="center"/>
          </w:tcPr>
          <w:p w14:paraId="273FD74F" w14:textId="77777777" w:rsidR="007E774C" w:rsidRDefault="007E774C" w:rsidP="007E774C">
            <w:pPr>
              <w:rPr>
                <w:rFonts w:ascii="Arial" w:hAnsi="Arial" w:cs="Arial"/>
                <w:color w:val="000000"/>
                <w:sz w:val="24"/>
                <w:szCs w:val="24"/>
              </w:rPr>
            </w:pPr>
            <w:r w:rsidRPr="00A445C8">
              <w:rPr>
                <w:rFonts w:ascii="Arial" w:hAnsi="Arial" w:cs="Arial"/>
                <w:color w:val="000000"/>
                <w:sz w:val="24"/>
                <w:szCs w:val="24"/>
              </w:rPr>
              <w:t>Revised August 2015</w:t>
            </w:r>
          </w:p>
          <w:p w14:paraId="5733C10C" w14:textId="77777777" w:rsidR="007E774C" w:rsidRPr="007E774C" w:rsidRDefault="007E774C" w:rsidP="007E774C">
            <w:pPr>
              <w:rPr>
                <w:rFonts w:ascii="Arial" w:hAnsi="Arial" w:cs="Arial"/>
                <w:sz w:val="24"/>
              </w:rPr>
            </w:pPr>
            <w:r w:rsidRPr="00A445C8">
              <w:rPr>
                <w:rFonts w:ascii="Arial" w:hAnsi="Arial" w:cs="Arial"/>
                <w:color w:val="000000"/>
                <w:sz w:val="24"/>
                <w:szCs w:val="24"/>
              </w:rPr>
              <w:t>Reprinted February 2016</w:t>
            </w:r>
          </w:p>
        </w:tc>
      </w:tr>
      <w:tr w:rsidR="007E774C" w14:paraId="59EE8EC0" w14:textId="77777777" w:rsidTr="007E774C">
        <w:trPr>
          <w:trHeight w:val="567"/>
        </w:trPr>
        <w:tc>
          <w:tcPr>
            <w:tcW w:w="1838" w:type="dxa"/>
            <w:vAlign w:val="center"/>
          </w:tcPr>
          <w:p w14:paraId="4A385588" w14:textId="77777777" w:rsidR="007E774C" w:rsidRPr="007E774C" w:rsidRDefault="007E774C" w:rsidP="007E774C">
            <w:pPr>
              <w:rPr>
                <w:rFonts w:ascii="Arial" w:hAnsi="Arial" w:cs="Arial"/>
                <w:sz w:val="24"/>
              </w:rPr>
            </w:pPr>
            <w:r w:rsidRPr="007E774C">
              <w:rPr>
                <w:rFonts w:ascii="Arial" w:hAnsi="Arial" w:cs="Arial"/>
                <w:sz w:val="24"/>
              </w:rPr>
              <w:t>107</w:t>
            </w:r>
          </w:p>
        </w:tc>
        <w:tc>
          <w:tcPr>
            <w:tcW w:w="4172" w:type="dxa"/>
            <w:vAlign w:val="center"/>
          </w:tcPr>
          <w:p w14:paraId="6E3628FB" w14:textId="77777777" w:rsidR="007E774C" w:rsidRPr="007E774C" w:rsidRDefault="007E774C" w:rsidP="007E774C">
            <w:pPr>
              <w:rPr>
                <w:rFonts w:ascii="Arial" w:hAnsi="Arial" w:cs="Arial"/>
                <w:sz w:val="24"/>
              </w:rPr>
            </w:pPr>
            <w:r>
              <w:rPr>
                <w:rFonts w:ascii="Arial" w:hAnsi="Arial" w:cs="Arial"/>
                <w:sz w:val="24"/>
              </w:rPr>
              <w:t>Kingston upon Hull</w:t>
            </w:r>
          </w:p>
        </w:tc>
        <w:tc>
          <w:tcPr>
            <w:tcW w:w="3006" w:type="dxa"/>
            <w:vAlign w:val="center"/>
          </w:tcPr>
          <w:p w14:paraId="180E5A82" w14:textId="77777777" w:rsidR="007E774C" w:rsidRDefault="007E774C" w:rsidP="007E774C">
            <w:pPr>
              <w:rPr>
                <w:rFonts w:ascii="Arial" w:hAnsi="Arial" w:cs="Arial"/>
                <w:sz w:val="24"/>
              </w:rPr>
            </w:pPr>
            <w:r>
              <w:rPr>
                <w:rFonts w:ascii="Arial" w:hAnsi="Arial" w:cs="Arial"/>
                <w:sz w:val="24"/>
              </w:rPr>
              <w:t>Published February 2016</w:t>
            </w:r>
          </w:p>
          <w:p w14:paraId="2895FBA5" w14:textId="77777777" w:rsidR="00AC14A3" w:rsidRDefault="00AC14A3" w:rsidP="007E774C">
            <w:pPr>
              <w:rPr>
                <w:rFonts w:ascii="Arial" w:hAnsi="Arial" w:cs="Arial"/>
                <w:sz w:val="24"/>
              </w:rPr>
            </w:pPr>
            <w:r>
              <w:rPr>
                <w:rFonts w:ascii="Arial" w:hAnsi="Arial" w:cs="Arial"/>
                <w:sz w:val="24"/>
              </w:rPr>
              <w:t>Revised July 2022</w:t>
            </w:r>
          </w:p>
          <w:p w14:paraId="2ECF1893" w14:textId="67F2FFA9" w:rsidR="00AC14A3" w:rsidRPr="00AC14A3" w:rsidRDefault="00AC14A3" w:rsidP="007E774C">
            <w:pPr>
              <w:rPr>
                <w:rFonts w:ascii="Arial" w:hAnsi="Arial" w:cs="Arial"/>
                <w:b/>
                <w:bCs/>
                <w:sz w:val="24"/>
              </w:rPr>
            </w:pPr>
            <w:r w:rsidRPr="00AC14A3">
              <w:rPr>
                <w:rFonts w:ascii="Arial" w:hAnsi="Arial" w:cs="Arial"/>
                <w:b/>
                <w:bCs/>
                <w:color w:val="FF0000"/>
                <w:sz w:val="24"/>
              </w:rPr>
              <w:t>Both versions to be checked.</w:t>
            </w:r>
          </w:p>
        </w:tc>
      </w:tr>
      <w:tr w:rsidR="007E774C" w14:paraId="029194A9" w14:textId="77777777" w:rsidTr="007E774C">
        <w:trPr>
          <w:trHeight w:val="567"/>
        </w:trPr>
        <w:tc>
          <w:tcPr>
            <w:tcW w:w="1838" w:type="dxa"/>
            <w:vAlign w:val="center"/>
          </w:tcPr>
          <w:p w14:paraId="2FE7434D" w14:textId="77777777" w:rsidR="007E774C" w:rsidRPr="007E774C" w:rsidRDefault="007E774C" w:rsidP="007E774C">
            <w:pPr>
              <w:rPr>
                <w:rFonts w:ascii="Arial" w:hAnsi="Arial" w:cs="Arial"/>
                <w:sz w:val="24"/>
              </w:rPr>
            </w:pPr>
            <w:r w:rsidRPr="007E774C">
              <w:rPr>
                <w:rFonts w:ascii="Arial" w:hAnsi="Arial" w:cs="Arial"/>
                <w:sz w:val="24"/>
              </w:rPr>
              <w:t>112</w:t>
            </w:r>
          </w:p>
        </w:tc>
        <w:tc>
          <w:tcPr>
            <w:tcW w:w="4172" w:type="dxa"/>
            <w:vAlign w:val="center"/>
          </w:tcPr>
          <w:p w14:paraId="560DBBDC" w14:textId="77777777" w:rsidR="007E774C" w:rsidRPr="007E774C" w:rsidRDefault="007E774C" w:rsidP="007E774C">
            <w:pPr>
              <w:rPr>
                <w:rFonts w:ascii="Arial" w:hAnsi="Arial" w:cs="Arial"/>
                <w:sz w:val="24"/>
              </w:rPr>
            </w:pPr>
            <w:r>
              <w:rPr>
                <w:rFonts w:ascii="Arial" w:hAnsi="Arial" w:cs="Arial"/>
                <w:sz w:val="24"/>
              </w:rPr>
              <w:t>Scunthorpe and Gainsborough</w:t>
            </w:r>
          </w:p>
        </w:tc>
        <w:tc>
          <w:tcPr>
            <w:tcW w:w="3006" w:type="dxa"/>
            <w:vAlign w:val="center"/>
          </w:tcPr>
          <w:p w14:paraId="67ECCD6C" w14:textId="77777777" w:rsidR="007E774C" w:rsidRPr="007E774C" w:rsidRDefault="007E774C" w:rsidP="007E774C">
            <w:pPr>
              <w:rPr>
                <w:rFonts w:ascii="Arial" w:hAnsi="Arial" w:cs="Arial"/>
                <w:sz w:val="24"/>
              </w:rPr>
            </w:pPr>
            <w:r>
              <w:rPr>
                <w:rFonts w:ascii="Arial" w:hAnsi="Arial" w:cs="Arial"/>
                <w:sz w:val="24"/>
              </w:rPr>
              <w:t>Published February 2016</w:t>
            </w:r>
          </w:p>
        </w:tc>
      </w:tr>
      <w:tr w:rsidR="007E774C" w14:paraId="47984104" w14:textId="77777777" w:rsidTr="007E774C">
        <w:trPr>
          <w:trHeight w:val="567"/>
        </w:trPr>
        <w:tc>
          <w:tcPr>
            <w:tcW w:w="1838" w:type="dxa"/>
            <w:vAlign w:val="center"/>
          </w:tcPr>
          <w:p w14:paraId="2600C481" w14:textId="77777777" w:rsidR="007E774C" w:rsidRPr="007E774C" w:rsidRDefault="007E774C" w:rsidP="007E774C">
            <w:pPr>
              <w:rPr>
                <w:rFonts w:ascii="Arial" w:hAnsi="Arial" w:cs="Arial"/>
                <w:sz w:val="24"/>
              </w:rPr>
            </w:pPr>
            <w:r w:rsidRPr="007E774C">
              <w:rPr>
                <w:rFonts w:ascii="Arial" w:hAnsi="Arial" w:cs="Arial"/>
                <w:sz w:val="24"/>
              </w:rPr>
              <w:t>113</w:t>
            </w:r>
          </w:p>
        </w:tc>
        <w:tc>
          <w:tcPr>
            <w:tcW w:w="4172" w:type="dxa"/>
            <w:vAlign w:val="center"/>
          </w:tcPr>
          <w:p w14:paraId="067F49AF" w14:textId="77777777" w:rsidR="007E774C" w:rsidRPr="007E774C" w:rsidRDefault="007E774C" w:rsidP="007E774C">
            <w:pPr>
              <w:rPr>
                <w:rFonts w:ascii="Arial" w:hAnsi="Arial" w:cs="Arial"/>
                <w:sz w:val="24"/>
              </w:rPr>
            </w:pPr>
            <w:r>
              <w:rPr>
                <w:rFonts w:ascii="Arial" w:hAnsi="Arial" w:cs="Arial"/>
                <w:sz w:val="24"/>
              </w:rPr>
              <w:t>Grimsby</w:t>
            </w:r>
          </w:p>
        </w:tc>
        <w:tc>
          <w:tcPr>
            <w:tcW w:w="3006" w:type="dxa"/>
            <w:vAlign w:val="center"/>
          </w:tcPr>
          <w:p w14:paraId="5C3A6742" w14:textId="77777777" w:rsidR="007E774C" w:rsidRPr="007E774C" w:rsidRDefault="007E774C" w:rsidP="007E774C">
            <w:pPr>
              <w:rPr>
                <w:rFonts w:ascii="Arial" w:hAnsi="Arial" w:cs="Arial"/>
                <w:sz w:val="24"/>
              </w:rPr>
            </w:pPr>
            <w:r>
              <w:rPr>
                <w:rFonts w:ascii="Arial" w:hAnsi="Arial" w:cs="Arial"/>
                <w:sz w:val="24"/>
              </w:rPr>
              <w:t>Published February 2016</w:t>
            </w:r>
          </w:p>
        </w:tc>
      </w:tr>
    </w:tbl>
    <w:p w14:paraId="370321D4" w14:textId="77777777" w:rsidR="007E774C" w:rsidRDefault="007E774C" w:rsidP="007E774C"/>
    <w:sectPr w:rsidR="007E7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4C"/>
    <w:rsid w:val="007E774C"/>
    <w:rsid w:val="00A73300"/>
    <w:rsid w:val="00AC14A3"/>
    <w:rsid w:val="00C52EEE"/>
    <w:rsid w:val="00EC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468B"/>
  <w15:chartTrackingRefBased/>
  <w15:docId w15:val="{B5F8B641-877C-456E-8F51-758B01B4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74C"/>
    <w:rPr>
      <w:color w:val="0563C1" w:themeColor="hyperlink"/>
      <w:u w:val="single"/>
    </w:rPr>
  </w:style>
  <w:style w:type="character" w:styleId="FollowedHyperlink">
    <w:name w:val="FollowedHyperlink"/>
    <w:basedOn w:val="DefaultParagraphFont"/>
    <w:uiPriority w:val="99"/>
    <w:semiHidden/>
    <w:unhideWhenUsed/>
    <w:rsid w:val="00AC1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Potter</dc:creator>
  <cp:keywords/>
  <dc:description/>
  <cp:lastModifiedBy>Graeme Potter</cp:lastModifiedBy>
  <cp:revision>2</cp:revision>
  <dcterms:created xsi:type="dcterms:W3CDTF">2019-12-20T21:21:00Z</dcterms:created>
  <dcterms:modified xsi:type="dcterms:W3CDTF">2024-09-19T15:33:00Z</dcterms:modified>
</cp:coreProperties>
</file>